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Calibri" w:cs="Calibri" w:hAnsi="Calibri"/>
          <w:sz w:val="22"/>
          <w:szCs w:val="22"/>
        </w:rPr>
      </w:pPr>
      <w:r>
        <w:rPr>
          <w:rFonts w:ascii="Calibri" w:cs="Calibri" w:hAnsi="Calibri"/>
          <w:sz w:val="22"/>
          <w:szCs w:val="22"/>
        </w:rPr>
        <w:t>Readmission Process -  School of Mathematics</w:t>
      </w:r>
    </w:p>
    <w:p>
      <w:pPr>
        <w:pStyle w:val="style0"/>
        <w:rPr>
          <w:rFonts w:ascii="Calibri" w:cs="Calibri" w:hAnsi="Calibri"/>
          <w:sz w:val="22"/>
          <w:szCs w:val="22"/>
        </w:rPr>
      </w:pPr>
      <w:r>
        <w:rPr>
          <w:rFonts w:ascii="Calibri" w:cs="Calibri" w:hAnsi="Calibri"/>
          <w:sz w:val="22"/>
          <w:szCs w:val="22"/>
        </w:rPr>
      </w:r>
    </w:p>
    <w:p>
      <w:pPr>
        <w:pStyle w:val="style32"/>
        <w:spacing w:after="283" w:before="0"/>
        <w:contextualSpacing w:val="false"/>
        <w:rPr>
          <w:rFonts w:ascii="Calibri" w:cs="Calibri" w:hAnsi="Calibri"/>
          <w:b/>
          <w:sz w:val="22"/>
          <w:szCs w:val="22"/>
        </w:rPr>
      </w:pPr>
      <w:r>
        <w:rPr>
          <w:rFonts w:ascii="Calibri" w:cs="Calibri" w:hAnsi="Calibri"/>
          <w:b/>
          <w:sz w:val="22"/>
          <w:szCs w:val="22"/>
        </w:rPr>
        <w:t>Readmission after leave of absence</w:t>
        <w:br/>
        <w:t>(not due to academic drop/dismissal) </w:t>
      </w:r>
    </w:p>
    <w:p>
      <w:pPr>
        <w:pStyle w:val="style32"/>
        <w:spacing w:after="283" w:before="0"/>
        <w:contextualSpacing w:val="false"/>
        <w:rPr>
          <w:rStyle w:val="style24"/>
          <w:rFonts w:ascii="Calibri" w:cs="Calibri" w:hAnsi="Calibri"/>
          <w:sz w:val="22"/>
          <w:szCs w:val="22"/>
        </w:rPr>
      </w:pPr>
      <w:r>
        <w:rPr>
          <w:rFonts w:ascii="Calibri" w:cs="Calibri" w:hAnsi="Calibri"/>
          <w:sz w:val="22"/>
          <w:szCs w:val="22"/>
        </w:rPr>
        <w:t xml:space="preserve">Students who have been away from GT for two or more semesters and are in good standing, probation, or warning status may reapply through the Registrar. Further information can be found </w:t>
      </w:r>
      <w:hyperlink r:id="rId2">
        <w:r>
          <w:rPr>
            <w:rStyle w:val="style24"/>
            <w:rFonts w:ascii="Calibri" w:cs="Calibri" w:hAnsi="Calibri"/>
            <w:sz w:val="22"/>
            <w:szCs w:val="22"/>
          </w:rPr>
          <w:t>here</w:t>
        </w:r>
      </w:hyperlink>
      <w:r>
        <w:rPr>
          <w:rFonts w:ascii="Calibri" w:cs="Calibri" w:hAnsi="Calibri"/>
          <w:sz w:val="22"/>
          <w:szCs w:val="22"/>
        </w:rPr>
        <w:t xml:space="preserve">. </w:t>
      </w:r>
      <w:hyperlink r:id="rId3">
        <w:r>
          <w:rPr>
            <w:rStyle w:val="style24"/>
            <w:rFonts w:ascii="Calibri" w:cs="Calibri" w:hAnsi="Calibri"/>
            <w:sz w:val="22"/>
            <w:szCs w:val="22"/>
          </w:rPr>
          <w:t>http://www.registrar.gatech.edu/students/readmission.php</w:t>
        </w:r>
      </w:hyperlink>
    </w:p>
    <w:p>
      <w:pPr>
        <w:pStyle w:val="style32"/>
        <w:spacing w:after="283" w:before="0"/>
        <w:contextualSpacing w:val="false"/>
        <w:rPr>
          <w:rFonts w:ascii="Calibri" w:cs="Calibri" w:hAnsi="Calibri"/>
          <w:b/>
          <w:sz w:val="22"/>
          <w:szCs w:val="22"/>
        </w:rPr>
      </w:pPr>
      <w:r>
        <w:rPr>
          <w:rFonts w:ascii="Calibri" w:cs="Calibri" w:hAnsi="Calibri"/>
          <w:b/>
          <w:sz w:val="22"/>
          <w:szCs w:val="22"/>
        </w:rPr>
        <w:t>Readmission after second drop/dismissal from Georgia Tech </w:t>
      </w:r>
    </w:p>
    <w:p>
      <w:pPr>
        <w:pStyle w:val="style32"/>
        <w:spacing w:after="283" w:before="0"/>
        <w:contextualSpacing w:val="false"/>
        <w:rPr>
          <w:rFonts w:ascii="Calibri" w:cs="Calibri" w:hAnsi="Calibri"/>
          <w:sz w:val="22"/>
          <w:szCs w:val="22"/>
        </w:rPr>
      </w:pPr>
      <w:r>
        <w:rPr>
          <w:rFonts w:ascii="Calibri" w:cs="Calibri" w:hAnsi="Calibri"/>
          <w:sz w:val="22"/>
          <w:szCs w:val="22"/>
        </w:rPr>
        <w:t>According to the General Catalog for the Georgia Institute of Technology "a student who is dropped a second time for unsatisfactory scholarship will not be readmitted." The School of Mathematics adheres to Georgia Tech policy regarding readmission after second drop/dismissal and will not consider readmissions applications from students who were dropped/dismissed twice from Georgia Tech.</w:t>
      </w:r>
    </w:p>
    <w:p>
      <w:pPr>
        <w:pStyle w:val="style0"/>
        <w:spacing w:after="283" w:before="0"/>
        <w:contextualSpacing w:val="false"/>
        <w:rPr>
          <w:rStyle w:val="style24"/>
          <w:rFonts w:ascii="Calibri" w:cs="Calibri" w:hAnsi="Calibri"/>
          <w:sz w:val="22"/>
          <w:szCs w:val="22"/>
        </w:rPr>
      </w:pPr>
      <w:r>
        <w:rPr>
          <w:rFonts w:ascii="Calibri" w:cs="Calibri" w:hAnsi="Calibri"/>
          <w:sz w:val="22"/>
          <w:szCs w:val="22"/>
        </w:rPr>
        <w:t xml:space="preserve">Further information can be found </w:t>
      </w:r>
      <w:hyperlink r:id="rId4">
        <w:r>
          <w:rPr>
            <w:rStyle w:val="style24"/>
            <w:rFonts w:ascii="Calibri" w:cs="Calibri" w:hAnsi="Calibri"/>
            <w:sz w:val="22"/>
            <w:szCs w:val="22"/>
          </w:rPr>
          <w:t>here</w:t>
        </w:r>
      </w:hyperlink>
      <w:r>
        <w:rPr>
          <w:rFonts w:ascii="Calibri" w:cs="Calibri" w:hAnsi="Calibri"/>
          <w:sz w:val="22"/>
          <w:szCs w:val="22"/>
        </w:rPr>
        <w:t xml:space="preserve">.  </w:t>
      </w:r>
      <w:hyperlink r:id="rId5">
        <w:r>
          <w:rPr>
            <w:rStyle w:val="style24"/>
            <w:rFonts w:ascii="Calibri" w:cs="Calibri" w:hAnsi="Calibri"/>
            <w:sz w:val="22"/>
            <w:szCs w:val="22"/>
          </w:rPr>
          <w:t>http://www.registrar.gatech.edu/students/readmission.php</w:t>
        </w:r>
      </w:hyperlink>
    </w:p>
    <w:p>
      <w:pPr>
        <w:pStyle w:val="style32"/>
        <w:spacing w:after="283" w:before="0"/>
        <w:contextualSpacing w:val="false"/>
        <w:rPr>
          <w:rFonts w:ascii="Calibri" w:cs="Calibri" w:hAnsi="Calibri"/>
          <w:b/>
          <w:bCs w:val="false"/>
          <w:sz w:val="22"/>
          <w:szCs w:val="22"/>
        </w:rPr>
      </w:pPr>
      <w:r>
        <w:rPr>
          <w:rFonts w:ascii="Calibri" w:cs="Calibri" w:hAnsi="Calibri"/>
          <w:b/>
          <w:sz w:val="22"/>
          <w:szCs w:val="22"/>
        </w:rPr>
        <w:t>Readmission after first drop/dismissal from Georgia Tech 2012</w:t>
      </w:r>
      <w:r>
        <w:rPr>
          <w:rFonts w:ascii="Calibri" w:cs="Calibri" w:hAnsi="Calibri"/>
          <w:b/>
          <w:bCs w:val="false"/>
          <w:sz w:val="22"/>
          <w:szCs w:val="22"/>
        </w:rPr>
        <w:t xml:space="preserve"> </w:t>
      </w:r>
    </w:p>
    <w:p>
      <w:pPr>
        <w:pStyle w:val="style32"/>
        <w:spacing w:after="283" w:before="0"/>
        <w:contextualSpacing w:val="false"/>
        <w:rPr>
          <w:rFonts w:ascii="Calibri" w:cs="Calibri" w:hAnsi="Calibri"/>
          <w:b w:val="false"/>
          <w:bCs w:val="false"/>
          <w:sz w:val="22"/>
          <w:szCs w:val="22"/>
        </w:rPr>
      </w:pPr>
      <w:r>
        <w:rPr>
          <w:rFonts w:ascii="Calibri" w:cs="Calibri" w:hAnsi="Calibri"/>
          <w:b w:val="false"/>
          <w:bCs w:val="false"/>
          <w:sz w:val="22"/>
          <w:szCs w:val="22"/>
        </w:rPr>
        <w:t>The School of Mathematics at the Georgia Institute of Technology has a slightly different readmission process from other Colleges and Schools at Georgia Tech.  See the School of Mathematics document on readmission after first drop/dismissal from Georgia Tech.</w:t>
      </w:r>
    </w:p>
    <w:p>
      <w:pPr>
        <w:pStyle w:val="style35"/>
        <w:spacing w:after="283" w:before="0"/>
        <w:contextualSpacing w:val="false"/>
        <w:jc w:val="both"/>
        <w:rPr/>
      </w:pPr>
      <w:r>
        <w:rPr/>
      </w:r>
    </w:p>
    <w:sectPr>
      <w:type w:val="nextPage"/>
      <w:pgSz w:h="15840" w:w="12240"/>
      <w:pgMar w:bottom="1134" w:footer="0" w:gutter="0" w:header="0" w:left="1134" w:right="1134"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80"/>
    <w:family w:val="auto"/>
    <w:pitch w:val="default"/>
  </w:font>
  <w:font w:name="Courier New">
    <w:charset w:val="80"/>
    <w:family w:val="modern"/>
    <w:pitch w:val="default"/>
  </w:font>
  <w:font w:name="Symbol">
    <w:charset w:val="80"/>
    <w:family w:val="auto"/>
    <w:pitch w:val="default"/>
  </w:font>
  <w:font w:name="Wingdings">
    <w:charset w:val="02"/>
    <w:family w:val="auto"/>
    <w:pitch w:val="default"/>
  </w:font>
  <w:font w:name="Wingdings 2">
    <w:charset w:val="02"/>
    <w:family w:val="auto"/>
    <w:pitch w:val="default"/>
  </w:font>
  <w:font w:name="OpenSymbol">
    <w:altName w:val="Arial Unicode MS"/>
    <w:charset w:val="80"/>
    <w:family w:val="auto"/>
    <w:pitch w:val="default"/>
  </w:font>
  <w:font w:name="Liberation Mono">
    <w:altName w:val="Courier New"/>
    <w:charset w:val="00"/>
    <w:family w:val="modern"/>
    <w:pitch w:val="default"/>
  </w:font>
  <w:font w:name="Courier New">
    <w:charset w:val="00"/>
    <w:family w:val="roman"/>
    <w:pitch w:val="variable"/>
  </w:font>
  <w:font w:name="Calibri">
    <w:charset w:val="80"/>
    <w:family w:val="swiss"/>
    <w:pitch w:val="default"/>
  </w:font>
  <w:font w:name="Calibri">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jc w:val="left"/>
    </w:pPr>
    <w:rPr>
      <w:rFonts w:ascii="Times New Roman" w:cs="FreeSans" w:eastAsia="AR PL ShanHeiSun Uni" w:hAnsi="Times New Roman"/>
      <w:color w:val="auto"/>
      <w:sz w:val="24"/>
      <w:szCs w:val="24"/>
      <w:lang w:bidi="hi-IN" w:eastAsia="zh-CN" w:val="en-US"/>
    </w:rPr>
  </w:style>
  <w:style w:styleId="style15" w:type="character">
    <w:name w:val="Absatz-Standardschriftart"/>
    <w:next w:val="style15"/>
    <w:rPr/>
  </w:style>
  <w:style w:styleId="style16" w:type="character">
    <w:name w:val="WW8Num2z0"/>
    <w:next w:val="style16"/>
    <w:rPr>
      <w:rFonts w:ascii="Wingdings" w:cs="Wingdings" w:hAnsi="Wingdings"/>
    </w:rPr>
  </w:style>
  <w:style w:styleId="style17" w:type="character">
    <w:name w:val="WW8Num2z1"/>
    <w:next w:val="style17"/>
    <w:rPr>
      <w:rFonts w:ascii="Courier New" w:cs="Courier New" w:hAnsi="Courier New"/>
    </w:rPr>
  </w:style>
  <w:style w:styleId="style18" w:type="character">
    <w:name w:val="WW8Num2z3"/>
    <w:next w:val="style18"/>
    <w:rPr>
      <w:rFonts w:ascii="Symbol" w:cs="Symbol" w:hAnsi="Symbol"/>
    </w:rPr>
  </w:style>
  <w:style w:styleId="style19" w:type="character">
    <w:name w:val="WW-Absatz-Standardschriftart"/>
    <w:next w:val="style19"/>
    <w:rPr/>
  </w:style>
  <w:style w:styleId="style20" w:type="character">
    <w:name w:val="WW-Absatz-Standardschriftart1"/>
    <w:next w:val="style20"/>
    <w:rPr/>
  </w:style>
  <w:style w:styleId="style21" w:type="character">
    <w:name w:val="WW8Num1z0"/>
    <w:next w:val="style21"/>
    <w:rPr>
      <w:rFonts w:ascii="Wingdings" w:cs="OpenSymbol;Arial Unicode MS" w:hAnsi="Wingdings"/>
    </w:rPr>
  </w:style>
  <w:style w:styleId="style22" w:type="character">
    <w:name w:val="WW8Num1z1"/>
    <w:next w:val="style22"/>
    <w:rPr>
      <w:rFonts w:ascii="Wingdings 2" w:cs="OpenSymbol;Arial Unicode MS" w:hAnsi="Wingdings 2"/>
    </w:rPr>
  </w:style>
  <w:style w:styleId="style23" w:type="character">
    <w:name w:val="WW-Absatz-Standardschriftart11"/>
    <w:next w:val="style23"/>
    <w:rPr/>
  </w:style>
  <w:style w:styleId="style24" w:type="character">
    <w:name w:val="Internet Link"/>
    <w:next w:val="style24"/>
    <w:rPr>
      <w:color w:val="000080"/>
      <w:u w:val="single"/>
      <w:lang w:bidi="zxx-" w:eastAsia="zxx-" w:val="zxx-"/>
    </w:rPr>
  </w:style>
  <w:style w:styleId="style25" w:type="character">
    <w:name w:val="Bullets"/>
    <w:next w:val="style25"/>
    <w:rPr>
      <w:rFonts w:ascii="OpenSymbol;Arial Unicode MS" w:cs="OpenSymbol;Arial Unicode MS" w:eastAsia="OpenSymbol;Arial Unicode MS" w:hAnsi="OpenSymbol;Arial Unicode MS"/>
    </w:rPr>
  </w:style>
  <w:style w:styleId="style26" w:type="character">
    <w:name w:val="ListLabel 1"/>
    <w:next w:val="style26"/>
    <w:rPr>
      <w:rFonts w:cs="Courier New"/>
    </w:rPr>
  </w:style>
  <w:style w:styleId="style27" w:type="paragraph">
    <w:name w:val="Heading"/>
    <w:basedOn w:val="style0"/>
    <w:next w:val="style28"/>
    <w:pPr>
      <w:keepNext/>
      <w:spacing w:after="120" w:before="240"/>
      <w:contextualSpacing w:val="false"/>
    </w:pPr>
    <w:rPr>
      <w:rFonts w:ascii="Arial" w:cs="FreeSans" w:eastAsia="AR PL ShanHeiSun Uni" w:hAnsi="Arial"/>
      <w:sz w:val="28"/>
      <w:szCs w:val="28"/>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rPr>
      <w:rFonts w:cs="FreeSans"/>
    </w:rPr>
  </w:style>
  <w:style w:styleId="style30" w:type="paragraph">
    <w:name w:val="Caption"/>
    <w:basedOn w:val="style0"/>
    <w:next w:val="style30"/>
    <w:pPr>
      <w:suppressLineNumbers/>
      <w:spacing w:after="120" w:before="120"/>
      <w:contextualSpacing w:val="false"/>
    </w:pPr>
    <w:rPr>
      <w:rFonts w:cs="FreeSans"/>
      <w:i/>
      <w:iCs/>
      <w:sz w:val="24"/>
      <w:szCs w:val="24"/>
    </w:rPr>
  </w:style>
  <w:style w:styleId="style31" w:type="paragraph">
    <w:name w:val="Index"/>
    <w:basedOn w:val="style0"/>
    <w:next w:val="style31"/>
    <w:pPr>
      <w:suppressLineNumbers/>
    </w:pPr>
    <w:rPr>
      <w:rFonts w:cs="FreeSans"/>
    </w:rPr>
  </w:style>
  <w:style w:styleId="style32" w:type="paragraph">
    <w:name w:val="Table Contents"/>
    <w:basedOn w:val="style0"/>
    <w:next w:val="style32"/>
    <w:pPr>
      <w:suppressLineNumbers/>
    </w:pPr>
    <w:rPr/>
  </w:style>
  <w:style w:styleId="style33" w:type="paragraph">
    <w:name w:val="Table Heading"/>
    <w:basedOn w:val="style32"/>
    <w:next w:val="style33"/>
    <w:pPr>
      <w:suppressLineNumbers/>
      <w:jc w:val="center"/>
    </w:pPr>
    <w:rPr>
      <w:b/>
      <w:bCs/>
    </w:rPr>
  </w:style>
  <w:style w:styleId="style34" w:type="paragraph">
    <w:name w:val="Preformatted Text"/>
    <w:basedOn w:val="style0"/>
    <w:next w:val="style34"/>
    <w:pPr>
      <w:spacing w:after="0" w:before="0"/>
      <w:contextualSpacing w:val="false"/>
    </w:pPr>
    <w:rPr>
      <w:rFonts w:ascii="Liberation Mono;Courier New" w:cs="FreeSans" w:eastAsia="AR PL ShanHeiSun Uni" w:hAnsi="Liberation Mono;Courier New"/>
      <w:sz w:val="20"/>
      <w:szCs w:val="20"/>
    </w:rPr>
  </w:style>
  <w:style w:styleId="style35" w:type="paragraph">
    <w:name w:val="Plain Text"/>
    <w:basedOn w:val="style0"/>
    <w:next w:val="style35"/>
    <w:pPr/>
    <w:rPr>
      <w:rFonts w:ascii="Courier New" w:cs="Courier New"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gistrar.gatech.edu/students/readmission.php" TargetMode="External"/><Relationship Id="rId3" Type="http://schemas.openxmlformats.org/officeDocument/2006/relationships/hyperlink" Target="http://www.registrar.gatech.edu/students/readmission.php" TargetMode="External"/><Relationship Id="rId4" Type="http://schemas.openxmlformats.org/officeDocument/2006/relationships/hyperlink" Target="http://www.registrar.gatech.edu/students/readmission.php" TargetMode="External"/><Relationship Id="rId5" Type="http://schemas.openxmlformats.org/officeDocument/2006/relationships/hyperlink" Target="http://www.registrar.gatech.edu/students/readmission.php"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2067068</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2012-05-29T14:47:16Z</dcterms:created>
  <cp:lastPrinted>2012-06-01T13:58:00Z</cp:lastPrinted>
  <cp:revision>0</cp:revision>
</cp:coreProperties>
</file>